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5685" w:rsidRPr="00380C36" w:rsidRDefault="00381740">
      <w:pPr>
        <w:rPr>
          <w:b/>
          <w:sz w:val="32"/>
        </w:rPr>
      </w:pPr>
      <w:r w:rsidRPr="00380C36">
        <w:rPr>
          <w:rFonts w:ascii="Times New Roman" w:eastAsia="Times New Roman" w:hAnsi="Times New Roman" w:cs="Times New Roman"/>
          <w:b/>
          <w:sz w:val="36"/>
          <w:szCs w:val="24"/>
          <w:lang w:eastAsia="pl-PL"/>
        </w:rPr>
        <w:t>4: Dobre praktyki w gospodarowaniu azotem w gospodarstwie rolnym</w:t>
      </w:r>
    </w:p>
    <w:p w:rsidR="00635685" w:rsidRDefault="00635685" w:rsidP="00635685"/>
    <w:p w:rsidR="00380C36" w:rsidRDefault="0080037A" w:rsidP="00635685">
      <w:r w:rsidRPr="0080037A">
        <w:rPr>
          <w:noProof/>
          <w:lang w:eastAsia="pl-PL"/>
        </w:rPr>
        <w:drawing>
          <wp:inline distT="0" distB="0" distL="0" distR="0">
            <wp:extent cx="5760720" cy="771689"/>
            <wp:effectExtent l="19050" t="0" r="0" b="0"/>
            <wp:docPr id="3" name="Obiek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236636" cy="1103056"/>
                      <a:chOff x="467544" y="1772816"/>
                      <a:chExt cx="8236636" cy="1103056"/>
                    </a:xfrm>
                  </a:grpSpPr>
                  <a:sp>
                    <a:nvSpPr>
                      <a:cNvPr id="4" name="Prostokąt 3"/>
                      <a:cNvSpPr/>
                    </a:nvSpPr>
                    <a:spPr>
                      <a:xfrm>
                        <a:off x="467544" y="1772816"/>
                        <a:ext cx="8236636" cy="1103056"/>
                      </a:xfrm>
                      <a:prstGeom prst="rect">
                        <a:avLst/>
                      </a:prstGeom>
                    </a:spPr>
                    <a:txSp>
                      <a:txBody>
                        <a:bodyPr rtlCol="0" anchor="ctr"/>
                        <a:lstStyle>
                          <a:defPPr>
                            <a:defRPr lang="pl-PL"/>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l-PL" b="1" dirty="0"/>
                            <a:t>Straty azotu na ogół powstają </a:t>
                          </a:r>
                          <a:r>
                            <a:rPr lang="pl-PL" b="1" dirty="0" smtClean="0"/>
                            <a:t>wówczas,</a:t>
                          </a:r>
                          <a:r>
                            <a:rPr lang="pl-PL" dirty="0"/>
                            <a:t> </a:t>
                          </a:r>
                          <a:r>
                            <a:rPr lang="pl-PL" b="1" dirty="0" smtClean="0"/>
                            <a:t>gdy </a:t>
                          </a:r>
                          <a:r>
                            <a:rPr lang="pl-PL" b="1" dirty="0"/>
                            <a:t>termin jego stosowania nie pokrywa </a:t>
                          </a:r>
                          <a:r>
                            <a:rPr lang="pl-PL" b="1" dirty="0" smtClean="0"/>
                            <a:t>się</a:t>
                          </a:r>
                          <a:r>
                            <a:rPr lang="pl-PL" dirty="0"/>
                            <a:t> </a:t>
                          </a:r>
                          <a:r>
                            <a:rPr lang="pl-PL" b="1" dirty="0" smtClean="0"/>
                            <a:t>z </a:t>
                          </a:r>
                          <a:r>
                            <a:rPr lang="pl-PL" b="1" dirty="0"/>
                            <a:t>zapotrzebowaniem roślin. </a:t>
                          </a:r>
                          <a:r>
                            <a:rPr lang="pl-PL" b="1" dirty="0" smtClean="0"/>
                            <a:t>Niewykorzystany</a:t>
                          </a:r>
                          <a:r>
                            <a:rPr lang="pl-PL" dirty="0"/>
                            <a:t> </a:t>
                          </a:r>
                          <a:r>
                            <a:rPr lang="pl-PL" b="1" dirty="0" smtClean="0"/>
                            <a:t>azot ulega </a:t>
                          </a:r>
                          <a:r>
                            <a:rPr lang="pl-PL" b="1" dirty="0"/>
                            <a:t>wymyciu do wód lub ulatnia się </a:t>
                          </a:r>
                          <a:r>
                            <a:rPr lang="pl-PL" b="1" dirty="0" smtClean="0"/>
                            <a:t>do</a:t>
                          </a:r>
                          <a:r>
                            <a:rPr lang="pl-PL" dirty="0"/>
                            <a:t> </a:t>
                          </a:r>
                          <a:r>
                            <a:rPr lang="pl-PL" b="1" dirty="0" smtClean="0"/>
                            <a:t>atmosfery </a:t>
                          </a:r>
                          <a:r>
                            <a:rPr lang="pl-PL" b="1" dirty="0"/>
                            <a:t>w postaci </a:t>
                          </a:r>
                          <a:r>
                            <a:rPr lang="pl-PL" b="1" dirty="0" smtClean="0"/>
                            <a:t>gazowej.</a:t>
                          </a:r>
                          <a:endParaRPr lang="pl-PL" dirty="0"/>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18034D" w:rsidRDefault="0018034D" w:rsidP="0018034D">
      <w:pPr>
        <w:pStyle w:val="Akapitzlist"/>
        <w:numPr>
          <w:ilvl w:val="0"/>
          <w:numId w:val="2"/>
        </w:numPr>
      </w:pPr>
      <w:r>
        <w:t>Analiza gleb i sporządzanie planów nawozowych</w:t>
      </w:r>
    </w:p>
    <w:p w:rsidR="0080037A" w:rsidRPr="0080037A" w:rsidRDefault="0080037A" w:rsidP="0018034D">
      <w:pPr>
        <w:pStyle w:val="Akapitzlist"/>
        <w:numPr>
          <w:ilvl w:val="0"/>
          <w:numId w:val="2"/>
        </w:numPr>
        <w:ind w:left="142" w:hanging="142"/>
      </w:pPr>
      <w:r w:rsidRPr="0080037A">
        <w:t>prawidłowe zmianowanie roślin, któremu towarzyszy uprawa międzyplonów oraz</w:t>
      </w:r>
    </w:p>
    <w:p w:rsidR="0080037A" w:rsidRPr="0080037A" w:rsidRDefault="0080037A" w:rsidP="0080037A">
      <w:r w:rsidRPr="0080037A">
        <w:t>przyorywanie słomy zbóż, rzepaku, kukurydzy,</w:t>
      </w:r>
    </w:p>
    <w:p w:rsidR="0080037A" w:rsidRPr="0080037A" w:rsidRDefault="0080037A" w:rsidP="0080037A">
      <w:r w:rsidRPr="0080037A">
        <w:t>• dostosowanie poziomu nawożenia do wymagań pokarmowych oraz standardowo osiąganych plonów uprawianych roślin,</w:t>
      </w:r>
    </w:p>
    <w:p w:rsidR="0080037A" w:rsidRPr="0080037A" w:rsidRDefault="0080037A" w:rsidP="0080037A">
      <w:r w:rsidRPr="0080037A">
        <w:t xml:space="preserve">• unikanie stosowania nawozów azotowych w okresach największego zagrożenia spływami powierzchniowymi na obszarach podatnych na erozję, </w:t>
      </w:r>
    </w:p>
    <w:p w:rsidR="0080037A" w:rsidRPr="0080037A" w:rsidRDefault="0080037A" w:rsidP="0080037A">
      <w:r w:rsidRPr="0080037A">
        <w:t>• ograniczanie jesiennej uprawy gleby do niezbędnego minimum np. przyorania obornika lub zaorania użytku motylkowo-trawiastego w okresie późnej jesieni,</w:t>
      </w:r>
    </w:p>
    <w:p w:rsidR="0080037A" w:rsidRPr="0080037A" w:rsidRDefault="0080037A" w:rsidP="0080037A">
      <w:r w:rsidRPr="0080037A">
        <w:t xml:space="preserve">• utrzymanie okrywy roślinnej na glebie w okresie całorocznym. </w:t>
      </w:r>
    </w:p>
    <w:p w:rsidR="008839DE" w:rsidRPr="0080037A" w:rsidRDefault="00EF63FD" w:rsidP="0080037A">
      <w:pPr>
        <w:numPr>
          <w:ilvl w:val="0"/>
          <w:numId w:val="3"/>
        </w:numPr>
        <w:tabs>
          <w:tab w:val="clear" w:pos="720"/>
          <w:tab w:val="num" w:pos="284"/>
        </w:tabs>
        <w:ind w:hanging="720"/>
      </w:pPr>
      <w:r w:rsidRPr="0080037A">
        <w:t xml:space="preserve">Bardzo istotne jest poprawne zmianowanie  roślin. Na glebach piaszczystych stosowanie poplonów ozimych w zmianowaniu i przyoranie ich wiosną. </w:t>
      </w:r>
    </w:p>
    <w:p w:rsidR="008839DE" w:rsidRPr="0080037A" w:rsidRDefault="00EF63FD" w:rsidP="0080037A">
      <w:pPr>
        <w:numPr>
          <w:ilvl w:val="0"/>
          <w:numId w:val="3"/>
        </w:numPr>
        <w:tabs>
          <w:tab w:val="clear" w:pos="720"/>
          <w:tab w:val="num" w:pos="284"/>
        </w:tabs>
        <w:ind w:hanging="720"/>
      </w:pPr>
      <w:r w:rsidRPr="0080037A">
        <w:t>Przyorywanie masy organicznej i stosowanie obornika w celu zwiększenia zapasu substancji organicznej w glebie.</w:t>
      </w:r>
    </w:p>
    <w:p w:rsidR="008839DE" w:rsidRPr="0080037A" w:rsidRDefault="00EF63FD" w:rsidP="0080037A">
      <w:pPr>
        <w:numPr>
          <w:ilvl w:val="0"/>
          <w:numId w:val="3"/>
        </w:numPr>
        <w:tabs>
          <w:tab w:val="clear" w:pos="720"/>
          <w:tab w:val="num" w:pos="284"/>
        </w:tabs>
        <w:ind w:hanging="720"/>
      </w:pPr>
      <w:r w:rsidRPr="0080037A">
        <w:t xml:space="preserve">Na glebach cięższych używanie międzyplonów o głębokim systemie korzeniowym (gorczyca biała, rzodkiew oleista, rzepik) co prowadzi do rozluźnienia podglebia. </w:t>
      </w:r>
    </w:p>
    <w:p w:rsidR="008839DE" w:rsidRPr="0080037A" w:rsidRDefault="00EF63FD" w:rsidP="0080037A">
      <w:pPr>
        <w:numPr>
          <w:ilvl w:val="0"/>
          <w:numId w:val="3"/>
        </w:numPr>
        <w:tabs>
          <w:tab w:val="clear" w:pos="720"/>
          <w:tab w:val="num" w:pos="284"/>
        </w:tabs>
        <w:ind w:hanging="720"/>
      </w:pPr>
      <w:r w:rsidRPr="0080037A">
        <w:t xml:space="preserve">Zastosowanie technik rozluźniających strukturę gleby, gdy przeważają gleby zbite, za pomocą orki głębokiej czy  głęboszowania (ale zabieg ten powinien być przeprowadzony, gdy gleba jest sucha),  lub przez uprawę roślin wieloletnich mających głęboki i silny system korzeniowy, np. lucerny. </w:t>
      </w:r>
    </w:p>
    <w:p w:rsidR="008839DE" w:rsidRPr="0080037A" w:rsidRDefault="00EF63FD" w:rsidP="0080037A">
      <w:pPr>
        <w:numPr>
          <w:ilvl w:val="0"/>
          <w:numId w:val="3"/>
        </w:numPr>
      </w:pPr>
      <w:r w:rsidRPr="0080037A">
        <w:t xml:space="preserve">Należy wystrzegać się wczesnego zaorywania  plantacji bobowatych wieloletnich (koniczyn, lucern i ich mieszanek z trawami).  Pozostawiają one w resztkach pożniwnych  znaczne ilości azotu (od 100 nawet do 300 kg/ha).  Wczesne, letnie lub wczesnojesienne zaoranie doprowadza do gwałtownej mineralizacji i ucieczki azotu do wód gruntowych. Problem ten doskonale znają rolnicy ekologiczni –  albo wysiewają szybko poplony, które zatrzymują większość azotu, albo zaorują takie stanowiska jak najpóźniej, żeby gleba szybko zamarzła.  </w:t>
      </w:r>
    </w:p>
    <w:p w:rsidR="008839DE" w:rsidRDefault="00EF63FD" w:rsidP="0080037A">
      <w:pPr>
        <w:numPr>
          <w:ilvl w:val="0"/>
          <w:numId w:val="3"/>
        </w:numPr>
      </w:pPr>
      <w:r w:rsidRPr="0080037A">
        <w:lastRenderedPageBreak/>
        <w:t xml:space="preserve">Międzyplony pełnią bardzo istotna rolę zarówno w ochronie powierzchni gleby przed erozją, jak i wychwytując korzeniami składniki pokarmowe (głównie azot i potas) które mogłyby zostać wypłukane w głąb profilu glebowego. </w:t>
      </w:r>
    </w:p>
    <w:p w:rsidR="0018034D" w:rsidRDefault="0018034D" w:rsidP="0080037A">
      <w:pPr>
        <w:numPr>
          <w:ilvl w:val="0"/>
          <w:numId w:val="3"/>
        </w:numPr>
      </w:pPr>
      <w:r>
        <w:t xml:space="preserve">Używanie nowoczesnych systemów w </w:t>
      </w:r>
      <w:proofErr w:type="spellStart"/>
      <w:r>
        <w:t>nawozeniu</w:t>
      </w:r>
      <w:proofErr w:type="spellEnd"/>
      <w:r>
        <w:t xml:space="preserve">- mapowania pól i nawożenia precyzyjnego z użyciem sterowania za </w:t>
      </w:r>
      <w:proofErr w:type="spellStart"/>
      <w:r>
        <w:t>pomoca</w:t>
      </w:r>
      <w:proofErr w:type="spellEnd"/>
      <w:r>
        <w:t xml:space="preserve"> GPS i aplikacji komputerowych</w:t>
      </w:r>
    </w:p>
    <w:p w:rsidR="0018034D" w:rsidRDefault="0018034D" w:rsidP="0080037A">
      <w:pPr>
        <w:numPr>
          <w:ilvl w:val="0"/>
          <w:numId w:val="3"/>
        </w:numPr>
      </w:pPr>
      <w:r>
        <w:t xml:space="preserve">Używanie inżektorów, węży w leczonych, aparatów </w:t>
      </w:r>
      <w:proofErr w:type="spellStart"/>
      <w:r>
        <w:t>rozlewowych</w:t>
      </w:r>
      <w:proofErr w:type="spellEnd"/>
      <w:r>
        <w:t xml:space="preserve">  dyskowych i </w:t>
      </w:r>
      <w:proofErr w:type="spellStart"/>
      <w:r>
        <w:t>płozowych</w:t>
      </w:r>
      <w:proofErr w:type="spellEnd"/>
      <w:r>
        <w:t xml:space="preserve"> w nawożeniu płynnymi nawozami- gnojówka i gnojowicą</w:t>
      </w:r>
    </w:p>
    <w:p w:rsidR="0018034D" w:rsidRPr="0080037A" w:rsidRDefault="0018034D" w:rsidP="0080037A">
      <w:pPr>
        <w:numPr>
          <w:ilvl w:val="0"/>
          <w:numId w:val="3"/>
        </w:numPr>
      </w:pPr>
      <w:r>
        <w:t>Stosowanie nowoczesnych technik obróbki gnojowicy , jak separacja i zakwaszanie gnojowicy</w:t>
      </w:r>
    </w:p>
    <w:p w:rsidR="00380C36" w:rsidRPr="0080037A" w:rsidRDefault="0080037A" w:rsidP="00635685">
      <w:pPr>
        <w:rPr>
          <w:b/>
        </w:rPr>
      </w:pPr>
      <w:r w:rsidRPr="0080037A">
        <w:rPr>
          <w:b/>
        </w:rPr>
        <w:t>Zwierzęca</w:t>
      </w:r>
    </w:p>
    <w:p w:rsidR="0080037A" w:rsidRPr="0080037A" w:rsidRDefault="0080037A" w:rsidP="0080037A">
      <w:r w:rsidRPr="0080037A">
        <w:t>żywienie wieloetapowe, w którym skład diety jest dostosowany do specyficznych wymogów danego okresu produkcji,</w:t>
      </w:r>
    </w:p>
    <w:p w:rsidR="0080037A" w:rsidRPr="0080037A" w:rsidRDefault="0080037A" w:rsidP="0080037A">
      <w:r w:rsidRPr="0080037A">
        <w:t>- dodawanie kontrolowanych ilości istotnych aminokwasów do diety ubogiej w surowe białko,</w:t>
      </w:r>
    </w:p>
    <w:p w:rsidR="0080037A" w:rsidRDefault="0080037A" w:rsidP="0080037A">
      <w:r w:rsidRPr="0080037A">
        <w:t>- stosowanie dopuszczonych dodatków paszowych, które zmniejszają całkowitą ilość wydalanego</w:t>
      </w:r>
    </w:p>
    <w:p w:rsidR="0080037A" w:rsidRDefault="0080037A" w:rsidP="00635685"/>
    <w:p w:rsidR="0080037A" w:rsidRDefault="0080037A" w:rsidP="00635685"/>
    <w:p w:rsidR="0080037A" w:rsidRPr="0080037A" w:rsidRDefault="0080037A" w:rsidP="0080037A">
      <w:r w:rsidRPr="0080037A">
        <w:t xml:space="preserve">Utrzymanie w dobrym stanie urządzeń technicznych zapobiega zastoiskom a potem odpływom dużych mas wody. Poprawna gospodarka wodna, konserwacja i utrzymanie drożności systemów melioracyjnych, kontrola zastawek i przepustów, naprawianie niesprawnych drenów jest podstawowym wymogiem prawidłowej melioracji. </w:t>
      </w:r>
    </w:p>
    <w:p w:rsidR="0080037A" w:rsidRPr="0080037A" w:rsidRDefault="0080037A" w:rsidP="0080037A">
      <w:r w:rsidRPr="0080037A">
        <w:t>Nie należy przy tym usuwać całej roślinności, większe drzewa  i zakrzaczenia wzdłuż rowów i pól mają dużą wartość biologiczną i pobierają znaczną część biogenów spływających z pól (wychwytują także związki azotu przemieszczające się z wodami podskórnymi).</w:t>
      </w:r>
    </w:p>
    <w:p w:rsidR="0080037A" w:rsidRPr="0018034D" w:rsidRDefault="0018034D" w:rsidP="00635685">
      <w:pPr>
        <w:rPr>
          <w:b/>
        </w:rPr>
      </w:pPr>
      <w:r w:rsidRPr="0018034D">
        <w:rPr>
          <w:b/>
        </w:rPr>
        <w:t>Utrzymanie infrastruktury zielonej: żywopłotów, pasów zadrzewień i zakrzewień, oczek wodnych</w:t>
      </w:r>
    </w:p>
    <w:p w:rsidR="0080037A" w:rsidRDefault="0080037A" w:rsidP="0080037A">
      <w:r>
        <w:t>Uprawy konserwujące</w:t>
      </w:r>
    </w:p>
    <w:tbl>
      <w:tblPr>
        <w:tblW w:w="9036" w:type="dxa"/>
        <w:tblCellMar>
          <w:left w:w="0" w:type="dxa"/>
          <w:right w:w="0" w:type="dxa"/>
        </w:tblCellMar>
        <w:tblLook w:val="04A0"/>
      </w:tblPr>
      <w:tblGrid>
        <w:gridCol w:w="2747"/>
        <w:gridCol w:w="2161"/>
        <w:gridCol w:w="2273"/>
        <w:gridCol w:w="1855"/>
      </w:tblGrid>
      <w:tr w:rsidR="0080037A" w:rsidRPr="0080037A" w:rsidTr="0080037A">
        <w:trPr>
          <w:trHeight w:val="697"/>
        </w:trPr>
        <w:tc>
          <w:tcPr>
            <w:tcW w:w="2747" w:type="dxa"/>
            <w:tcBorders>
              <w:top w:val="single" w:sz="8" w:space="0" w:color="000000"/>
              <w:left w:val="single" w:sz="8" w:space="0" w:color="000000"/>
              <w:bottom w:val="single" w:sz="4" w:space="0" w:color="000000"/>
              <w:right w:val="single" w:sz="8" w:space="0" w:color="000000"/>
            </w:tcBorders>
            <w:shd w:val="clear" w:color="auto" w:fill="92CDDC"/>
            <w:tcMar>
              <w:top w:w="15" w:type="dxa"/>
              <w:left w:w="15" w:type="dxa"/>
              <w:bottom w:w="0" w:type="dxa"/>
              <w:right w:w="15" w:type="dxa"/>
            </w:tcMar>
            <w:vAlign w:val="center"/>
            <w:hideMark/>
          </w:tcPr>
          <w:p w:rsidR="008839DE" w:rsidRPr="0080037A" w:rsidRDefault="0080037A" w:rsidP="0080037A">
            <w:r w:rsidRPr="0080037A">
              <w:rPr>
                <w:b/>
                <w:bCs/>
              </w:rPr>
              <w:t>Właściwości ekosystemu</w:t>
            </w:r>
          </w:p>
        </w:tc>
        <w:tc>
          <w:tcPr>
            <w:tcW w:w="2161" w:type="dxa"/>
            <w:tcBorders>
              <w:top w:val="single" w:sz="8" w:space="0" w:color="000000"/>
              <w:left w:val="single" w:sz="8" w:space="0" w:color="000000"/>
              <w:bottom w:val="single" w:sz="4" w:space="0" w:color="000000"/>
              <w:right w:val="single" w:sz="8" w:space="0" w:color="000000"/>
            </w:tcBorders>
            <w:shd w:val="clear" w:color="auto" w:fill="92CDDC"/>
            <w:tcMar>
              <w:top w:w="15" w:type="dxa"/>
              <w:left w:w="15" w:type="dxa"/>
              <w:bottom w:w="0" w:type="dxa"/>
              <w:right w:w="15" w:type="dxa"/>
            </w:tcMar>
            <w:vAlign w:val="center"/>
            <w:hideMark/>
          </w:tcPr>
          <w:p w:rsidR="008839DE" w:rsidRPr="0080037A" w:rsidRDefault="0080037A" w:rsidP="0080037A">
            <w:r w:rsidRPr="0080037A">
              <w:rPr>
                <w:b/>
                <w:bCs/>
              </w:rPr>
              <w:t>Uprawa tradycyjna</w:t>
            </w:r>
            <w:r>
              <w:rPr>
                <w:b/>
                <w:bCs/>
              </w:rPr>
              <w:t>, płużna</w:t>
            </w:r>
          </w:p>
        </w:tc>
        <w:tc>
          <w:tcPr>
            <w:tcW w:w="2273" w:type="dxa"/>
            <w:tcBorders>
              <w:top w:val="single" w:sz="8" w:space="0" w:color="000000"/>
              <w:left w:val="single" w:sz="8" w:space="0" w:color="000000"/>
              <w:bottom w:val="single" w:sz="4" w:space="0" w:color="000000"/>
              <w:right w:val="single" w:sz="8" w:space="0" w:color="000000"/>
            </w:tcBorders>
            <w:shd w:val="clear" w:color="auto" w:fill="92CDDC"/>
            <w:tcMar>
              <w:top w:w="15" w:type="dxa"/>
              <w:left w:w="15" w:type="dxa"/>
              <w:bottom w:w="0" w:type="dxa"/>
              <w:right w:w="15" w:type="dxa"/>
            </w:tcMar>
            <w:vAlign w:val="center"/>
            <w:hideMark/>
          </w:tcPr>
          <w:p w:rsidR="008839DE" w:rsidRPr="0080037A" w:rsidRDefault="0080037A" w:rsidP="0080037A">
            <w:r w:rsidRPr="0080037A">
              <w:rPr>
                <w:b/>
                <w:bCs/>
              </w:rPr>
              <w:t>Uprawa konserwująca</w:t>
            </w:r>
          </w:p>
        </w:tc>
        <w:tc>
          <w:tcPr>
            <w:tcW w:w="1855" w:type="dxa"/>
            <w:tcBorders>
              <w:top w:val="single" w:sz="8" w:space="0" w:color="000000"/>
              <w:left w:val="single" w:sz="8" w:space="0" w:color="000000"/>
              <w:bottom w:val="single" w:sz="4" w:space="0" w:color="000000"/>
              <w:right w:val="single" w:sz="8" w:space="0" w:color="000000"/>
            </w:tcBorders>
            <w:shd w:val="clear" w:color="auto" w:fill="92CDDC"/>
            <w:tcMar>
              <w:top w:w="15" w:type="dxa"/>
              <w:left w:w="15" w:type="dxa"/>
              <w:bottom w:w="0" w:type="dxa"/>
              <w:right w:w="15" w:type="dxa"/>
            </w:tcMar>
            <w:vAlign w:val="center"/>
            <w:hideMark/>
          </w:tcPr>
          <w:p w:rsidR="008839DE" w:rsidRPr="0080037A" w:rsidRDefault="0080037A" w:rsidP="0080037A">
            <w:r w:rsidRPr="0080037A">
              <w:rPr>
                <w:b/>
                <w:bCs/>
              </w:rPr>
              <w:t>Użytki zielone</w:t>
            </w:r>
          </w:p>
        </w:tc>
      </w:tr>
      <w:tr w:rsidR="0080037A" w:rsidRPr="0080037A" w:rsidTr="0080037A">
        <w:trPr>
          <w:trHeight w:val="697"/>
        </w:trPr>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839DE" w:rsidRPr="0080037A" w:rsidRDefault="0080037A" w:rsidP="0080037A">
            <w:r w:rsidRPr="0080037A">
              <w:t>Równowaga ekologiczna</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839DE" w:rsidRPr="0080037A" w:rsidRDefault="0080037A" w:rsidP="0080037A">
            <w:r w:rsidRPr="0080037A">
              <w:t xml:space="preserve">nie zrównoważone </w:t>
            </w:r>
          </w:p>
        </w:tc>
        <w:tc>
          <w:tcPr>
            <w:tcW w:w="2273" w:type="dxa"/>
            <w:tcBorders>
              <w:top w:val="single" w:sz="4" w:space="0" w:color="000000"/>
              <w:left w:val="single" w:sz="4" w:space="0" w:color="000000"/>
              <w:bottom w:val="single" w:sz="4" w:space="0" w:color="000000"/>
              <w:right w:val="single" w:sz="4" w:space="0" w:color="000000"/>
            </w:tcBorders>
            <w:shd w:val="clear" w:color="auto" w:fill="DFE0B1"/>
            <w:tcMar>
              <w:top w:w="15" w:type="dxa"/>
              <w:left w:w="15" w:type="dxa"/>
              <w:bottom w:w="0" w:type="dxa"/>
              <w:right w:w="15" w:type="dxa"/>
            </w:tcMar>
            <w:vAlign w:val="center"/>
            <w:hideMark/>
          </w:tcPr>
          <w:p w:rsidR="008839DE" w:rsidRPr="0080037A" w:rsidRDefault="0080037A" w:rsidP="0080037A">
            <w:r w:rsidRPr="0080037A">
              <w:t xml:space="preserve">prawie zrównoważone </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839DE" w:rsidRPr="0080037A" w:rsidRDefault="0080037A" w:rsidP="0080037A">
            <w:r w:rsidRPr="0080037A">
              <w:t xml:space="preserve">w równowadze </w:t>
            </w:r>
            <w:proofErr w:type="spellStart"/>
            <w:r w:rsidRPr="0080037A">
              <w:t>ekol</w:t>
            </w:r>
            <w:proofErr w:type="spellEnd"/>
            <w:r w:rsidRPr="0080037A">
              <w:t xml:space="preserve">. </w:t>
            </w:r>
          </w:p>
        </w:tc>
      </w:tr>
      <w:tr w:rsidR="0080037A" w:rsidRPr="0080037A" w:rsidTr="0080037A">
        <w:trPr>
          <w:trHeight w:val="348"/>
        </w:trPr>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839DE" w:rsidRPr="0080037A" w:rsidRDefault="0080037A" w:rsidP="0080037A">
            <w:r w:rsidRPr="0080037A">
              <w:t xml:space="preserve">Dostępność </w:t>
            </w:r>
            <w:proofErr w:type="spellStart"/>
            <w:r w:rsidRPr="0080037A">
              <w:t>skł</w:t>
            </w:r>
            <w:proofErr w:type="spellEnd"/>
            <w:r w:rsidRPr="0080037A">
              <w:t>. pok.</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839DE" w:rsidRPr="0080037A" w:rsidRDefault="0080037A" w:rsidP="0080037A">
            <w:r w:rsidRPr="0080037A">
              <w:t xml:space="preserve">niska </w:t>
            </w:r>
          </w:p>
        </w:tc>
        <w:tc>
          <w:tcPr>
            <w:tcW w:w="2273" w:type="dxa"/>
            <w:tcBorders>
              <w:top w:val="single" w:sz="4" w:space="0" w:color="000000"/>
              <w:left w:val="single" w:sz="4" w:space="0" w:color="000000"/>
              <w:bottom w:val="single" w:sz="4" w:space="0" w:color="000000"/>
              <w:right w:val="single" w:sz="4" w:space="0" w:color="000000"/>
            </w:tcBorders>
            <w:shd w:val="clear" w:color="auto" w:fill="DFE0B1"/>
            <w:tcMar>
              <w:top w:w="15" w:type="dxa"/>
              <w:left w:w="15" w:type="dxa"/>
              <w:bottom w:w="0" w:type="dxa"/>
              <w:right w:w="15" w:type="dxa"/>
            </w:tcMar>
            <w:vAlign w:val="center"/>
            <w:hideMark/>
          </w:tcPr>
          <w:p w:rsidR="008839DE" w:rsidRPr="0080037A" w:rsidRDefault="0080037A" w:rsidP="0080037A">
            <w:r w:rsidRPr="0080037A">
              <w:t xml:space="preserve">średnia </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839DE" w:rsidRPr="0080037A" w:rsidRDefault="0080037A" w:rsidP="0080037A">
            <w:r w:rsidRPr="0080037A">
              <w:t xml:space="preserve">wysoka </w:t>
            </w:r>
          </w:p>
        </w:tc>
      </w:tr>
      <w:tr w:rsidR="0080037A" w:rsidRPr="0080037A" w:rsidTr="0080037A">
        <w:trPr>
          <w:trHeight w:val="348"/>
        </w:trPr>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839DE" w:rsidRPr="0080037A" w:rsidRDefault="0080037A" w:rsidP="0080037A">
            <w:r w:rsidRPr="0080037A">
              <w:t xml:space="preserve">Utrzymywanie </w:t>
            </w:r>
            <w:proofErr w:type="spellStart"/>
            <w:r w:rsidRPr="0080037A">
              <w:t>subst</w:t>
            </w:r>
            <w:proofErr w:type="spellEnd"/>
            <w:r w:rsidRPr="0080037A">
              <w:t>. org.</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839DE" w:rsidRPr="0080037A" w:rsidRDefault="0080037A" w:rsidP="0080037A">
            <w:r w:rsidRPr="0080037A">
              <w:t xml:space="preserve">obniża się </w:t>
            </w:r>
          </w:p>
        </w:tc>
        <w:tc>
          <w:tcPr>
            <w:tcW w:w="2273" w:type="dxa"/>
            <w:tcBorders>
              <w:top w:val="single" w:sz="4" w:space="0" w:color="000000"/>
              <w:left w:val="single" w:sz="4" w:space="0" w:color="000000"/>
              <w:bottom w:val="single" w:sz="4" w:space="0" w:color="000000"/>
              <w:right w:val="single" w:sz="4" w:space="0" w:color="000000"/>
            </w:tcBorders>
            <w:shd w:val="clear" w:color="auto" w:fill="DFE0B1"/>
            <w:tcMar>
              <w:top w:w="15" w:type="dxa"/>
              <w:left w:w="15" w:type="dxa"/>
              <w:bottom w:w="0" w:type="dxa"/>
              <w:right w:w="15" w:type="dxa"/>
            </w:tcMar>
            <w:vAlign w:val="center"/>
            <w:hideMark/>
          </w:tcPr>
          <w:p w:rsidR="008839DE" w:rsidRPr="0080037A" w:rsidRDefault="0080037A" w:rsidP="0080037A">
            <w:r w:rsidRPr="0080037A">
              <w:t xml:space="preserve">utrzymuje się </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839DE" w:rsidRPr="0080037A" w:rsidRDefault="0080037A" w:rsidP="0080037A">
            <w:r w:rsidRPr="0080037A">
              <w:t xml:space="preserve">utrzymuje się </w:t>
            </w:r>
          </w:p>
        </w:tc>
      </w:tr>
      <w:tr w:rsidR="0080037A" w:rsidRPr="0080037A" w:rsidTr="0080037A">
        <w:trPr>
          <w:trHeight w:val="348"/>
        </w:trPr>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839DE" w:rsidRPr="0080037A" w:rsidRDefault="0080037A" w:rsidP="0080037A">
            <w:r w:rsidRPr="0080037A">
              <w:t>Zawartość biomasy</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839DE" w:rsidRPr="0080037A" w:rsidRDefault="0080037A" w:rsidP="0080037A">
            <w:r w:rsidRPr="0080037A">
              <w:t xml:space="preserve">obniża się </w:t>
            </w:r>
          </w:p>
        </w:tc>
        <w:tc>
          <w:tcPr>
            <w:tcW w:w="2273" w:type="dxa"/>
            <w:tcBorders>
              <w:top w:val="single" w:sz="4" w:space="0" w:color="000000"/>
              <w:left w:val="single" w:sz="4" w:space="0" w:color="000000"/>
              <w:bottom w:val="single" w:sz="4" w:space="0" w:color="000000"/>
              <w:right w:val="single" w:sz="4" w:space="0" w:color="000000"/>
            </w:tcBorders>
            <w:shd w:val="clear" w:color="auto" w:fill="DFE0B1"/>
            <w:tcMar>
              <w:top w:w="15" w:type="dxa"/>
              <w:left w:w="15" w:type="dxa"/>
              <w:bottom w:w="0" w:type="dxa"/>
              <w:right w:w="15" w:type="dxa"/>
            </w:tcMar>
            <w:vAlign w:val="center"/>
            <w:hideMark/>
          </w:tcPr>
          <w:p w:rsidR="008839DE" w:rsidRPr="0080037A" w:rsidRDefault="0080037A" w:rsidP="0080037A">
            <w:r w:rsidRPr="0080037A">
              <w:t xml:space="preserve">wzrasta </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839DE" w:rsidRPr="0080037A" w:rsidRDefault="0080037A" w:rsidP="0080037A">
            <w:r w:rsidRPr="0080037A">
              <w:t xml:space="preserve">ustabilizowana </w:t>
            </w:r>
          </w:p>
        </w:tc>
      </w:tr>
      <w:tr w:rsidR="0080037A" w:rsidRPr="0080037A" w:rsidTr="0080037A">
        <w:trPr>
          <w:trHeight w:val="348"/>
        </w:trPr>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839DE" w:rsidRPr="0080037A" w:rsidRDefault="0080037A" w:rsidP="0080037A">
            <w:r w:rsidRPr="0080037A">
              <w:lastRenderedPageBreak/>
              <w:t>Retencja wodna</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839DE" w:rsidRPr="0080037A" w:rsidRDefault="0080037A" w:rsidP="0080037A">
            <w:r w:rsidRPr="0080037A">
              <w:t xml:space="preserve">mała </w:t>
            </w:r>
          </w:p>
        </w:tc>
        <w:tc>
          <w:tcPr>
            <w:tcW w:w="2273" w:type="dxa"/>
            <w:tcBorders>
              <w:top w:val="single" w:sz="4" w:space="0" w:color="000000"/>
              <w:left w:val="single" w:sz="4" w:space="0" w:color="000000"/>
              <w:bottom w:val="single" w:sz="4" w:space="0" w:color="000000"/>
              <w:right w:val="single" w:sz="4" w:space="0" w:color="000000"/>
            </w:tcBorders>
            <w:shd w:val="clear" w:color="auto" w:fill="DFE0B1"/>
            <w:tcMar>
              <w:top w:w="15" w:type="dxa"/>
              <w:left w:w="15" w:type="dxa"/>
              <w:bottom w:w="0" w:type="dxa"/>
              <w:right w:w="15" w:type="dxa"/>
            </w:tcMar>
            <w:vAlign w:val="center"/>
            <w:hideMark/>
          </w:tcPr>
          <w:p w:rsidR="008839DE" w:rsidRPr="0080037A" w:rsidRDefault="0080037A" w:rsidP="0080037A">
            <w:r w:rsidRPr="0080037A">
              <w:t xml:space="preserve">duża </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839DE" w:rsidRPr="0080037A" w:rsidRDefault="0080037A" w:rsidP="0080037A">
            <w:r w:rsidRPr="0080037A">
              <w:t xml:space="preserve">b. duża </w:t>
            </w:r>
          </w:p>
        </w:tc>
      </w:tr>
      <w:tr w:rsidR="0080037A" w:rsidRPr="0080037A" w:rsidTr="0080037A">
        <w:trPr>
          <w:trHeight w:val="348"/>
        </w:trPr>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839DE" w:rsidRPr="0080037A" w:rsidRDefault="0080037A" w:rsidP="0080037A">
            <w:r w:rsidRPr="0080037A">
              <w:t xml:space="preserve">Erozyjność </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839DE" w:rsidRPr="0080037A" w:rsidRDefault="0080037A" w:rsidP="0080037A">
            <w:r w:rsidRPr="0080037A">
              <w:t xml:space="preserve">duża </w:t>
            </w:r>
          </w:p>
        </w:tc>
        <w:tc>
          <w:tcPr>
            <w:tcW w:w="2273" w:type="dxa"/>
            <w:tcBorders>
              <w:top w:val="single" w:sz="4" w:space="0" w:color="000000"/>
              <w:left w:val="single" w:sz="4" w:space="0" w:color="000000"/>
              <w:bottom w:val="single" w:sz="4" w:space="0" w:color="000000"/>
              <w:right w:val="single" w:sz="4" w:space="0" w:color="000000"/>
            </w:tcBorders>
            <w:shd w:val="clear" w:color="auto" w:fill="DFE0B1"/>
            <w:tcMar>
              <w:top w:w="15" w:type="dxa"/>
              <w:left w:w="15" w:type="dxa"/>
              <w:bottom w:w="0" w:type="dxa"/>
              <w:right w:w="15" w:type="dxa"/>
            </w:tcMar>
            <w:vAlign w:val="center"/>
            <w:hideMark/>
          </w:tcPr>
          <w:p w:rsidR="008839DE" w:rsidRPr="0080037A" w:rsidRDefault="0080037A" w:rsidP="0080037A">
            <w:r w:rsidRPr="0080037A">
              <w:t xml:space="preserve">mała </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839DE" w:rsidRPr="0080037A" w:rsidRDefault="0080037A" w:rsidP="0080037A">
            <w:r w:rsidRPr="0080037A">
              <w:t xml:space="preserve">brak </w:t>
            </w:r>
          </w:p>
        </w:tc>
      </w:tr>
      <w:tr w:rsidR="0080037A" w:rsidRPr="0080037A" w:rsidTr="0080037A">
        <w:trPr>
          <w:trHeight w:val="719"/>
        </w:trPr>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839DE" w:rsidRPr="0080037A" w:rsidRDefault="0080037A" w:rsidP="0080037A">
            <w:r w:rsidRPr="0080037A">
              <w:t xml:space="preserve">Wpływ na jakość gleby </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839DE" w:rsidRPr="0080037A" w:rsidRDefault="0080037A" w:rsidP="0080037A">
            <w:r w:rsidRPr="0080037A">
              <w:t xml:space="preserve">możliwość degradacji </w:t>
            </w:r>
          </w:p>
        </w:tc>
        <w:tc>
          <w:tcPr>
            <w:tcW w:w="2273" w:type="dxa"/>
            <w:tcBorders>
              <w:top w:val="single" w:sz="4" w:space="0" w:color="000000"/>
              <w:left w:val="single" w:sz="4" w:space="0" w:color="000000"/>
              <w:bottom w:val="single" w:sz="4" w:space="0" w:color="000000"/>
              <w:right w:val="single" w:sz="4" w:space="0" w:color="000000"/>
            </w:tcBorders>
            <w:shd w:val="clear" w:color="auto" w:fill="DFE0B1"/>
            <w:tcMar>
              <w:top w:w="15" w:type="dxa"/>
              <w:left w:w="15" w:type="dxa"/>
              <w:bottom w:w="0" w:type="dxa"/>
              <w:right w:w="15" w:type="dxa"/>
            </w:tcMar>
            <w:vAlign w:val="center"/>
            <w:hideMark/>
          </w:tcPr>
          <w:p w:rsidR="008839DE" w:rsidRPr="0080037A" w:rsidRDefault="0080037A" w:rsidP="0080037A">
            <w:r w:rsidRPr="0080037A">
              <w:t xml:space="preserve">duży </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839DE" w:rsidRPr="0080037A" w:rsidRDefault="0080037A" w:rsidP="0080037A">
            <w:r w:rsidRPr="0080037A">
              <w:t xml:space="preserve">duży </w:t>
            </w:r>
          </w:p>
        </w:tc>
      </w:tr>
    </w:tbl>
    <w:p w:rsidR="0080037A" w:rsidRPr="0080037A" w:rsidRDefault="0080037A" w:rsidP="0080037A">
      <w:r w:rsidRPr="0080037A">
        <w:t xml:space="preserve">Źródło: UP Wrocław 2011 </w:t>
      </w:r>
    </w:p>
    <w:p w:rsidR="00380C36" w:rsidRPr="0080037A" w:rsidRDefault="00380C36" w:rsidP="0080037A"/>
    <w:p w:rsidR="00FA6426" w:rsidRDefault="00635685" w:rsidP="00635685">
      <w:r>
        <w:rPr>
          <w:noProof/>
          <w:lang w:eastAsia="pl-PL"/>
        </w:rPr>
        <w:drawing>
          <wp:inline distT="0" distB="0" distL="0" distR="0">
            <wp:extent cx="5760720" cy="4092783"/>
            <wp:effectExtent l="19050" t="0" r="0" b="0"/>
            <wp:docPr id="1" name="Obraz 1" descr="Podobny ob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dobny obraz"/>
                    <pic:cNvPicPr>
                      <a:picLocks noChangeAspect="1" noChangeArrowheads="1"/>
                    </pic:cNvPicPr>
                  </pic:nvPicPr>
                  <pic:blipFill>
                    <a:blip r:embed="rId5" cstate="print"/>
                    <a:srcRect/>
                    <a:stretch>
                      <a:fillRect/>
                    </a:stretch>
                  </pic:blipFill>
                  <pic:spPr bwMode="auto">
                    <a:xfrm>
                      <a:off x="0" y="0"/>
                      <a:ext cx="5760720" cy="4092783"/>
                    </a:xfrm>
                    <a:prstGeom prst="rect">
                      <a:avLst/>
                    </a:prstGeom>
                    <a:noFill/>
                    <a:ln w="9525">
                      <a:noFill/>
                      <a:miter lim="800000"/>
                      <a:headEnd/>
                      <a:tailEnd/>
                    </a:ln>
                  </pic:spPr>
                </pic:pic>
              </a:graphicData>
            </a:graphic>
          </wp:inline>
        </w:drawing>
      </w:r>
    </w:p>
    <w:p w:rsidR="00FA6426" w:rsidRDefault="00FA6426" w:rsidP="00FA6426">
      <w:r>
        <w:t xml:space="preserve">Poniże: </w:t>
      </w:r>
      <w:proofErr w:type="spellStart"/>
      <w:r>
        <w:t>Baltic</w:t>
      </w:r>
      <w:proofErr w:type="spellEnd"/>
      <w:r>
        <w:t xml:space="preserve"> Deal Project (opracowanie polskie) na co zwrócić uwagę w gospodarstwie </w:t>
      </w:r>
    </w:p>
    <w:p w:rsidR="00635685" w:rsidRPr="00FA6426" w:rsidRDefault="00FA6426" w:rsidP="00FA6426">
      <w:r w:rsidRPr="00FA6426">
        <w:object w:dxaOrig="7216"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1pt;height:269.25pt" o:ole="">
            <v:imagedata r:id="rId6" o:title=""/>
          </v:shape>
          <o:OLEObject Type="Embed" ProgID="PowerPoint.Slide.12" ShapeID="_x0000_i1025" DrawAspect="Content" ObjectID="_1610037160" r:id="rId7"/>
        </w:object>
      </w:r>
    </w:p>
    <w:p w:rsidR="00952D2E" w:rsidRDefault="00635685" w:rsidP="00635685">
      <w:r>
        <w:rPr>
          <w:noProof/>
          <w:lang w:eastAsia="pl-PL"/>
        </w:rPr>
        <w:drawing>
          <wp:inline distT="0" distB="0" distL="0" distR="0">
            <wp:extent cx="5760720" cy="3393876"/>
            <wp:effectExtent l="19050" t="0" r="0" b="0"/>
            <wp:docPr id="4" name="Obraz 4" descr="http://ec.europa.eu/environment/water/water-nitrates/images/nitrates_directive_infograph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c.europa.eu/environment/water/water-nitrates/images/nitrates_directive_infographic.PNG"/>
                    <pic:cNvPicPr>
                      <a:picLocks noChangeAspect="1" noChangeArrowheads="1"/>
                    </pic:cNvPicPr>
                  </pic:nvPicPr>
                  <pic:blipFill>
                    <a:blip r:embed="rId8" cstate="print"/>
                    <a:srcRect/>
                    <a:stretch>
                      <a:fillRect/>
                    </a:stretch>
                  </pic:blipFill>
                  <pic:spPr bwMode="auto">
                    <a:xfrm>
                      <a:off x="0" y="0"/>
                      <a:ext cx="5760720" cy="3393876"/>
                    </a:xfrm>
                    <a:prstGeom prst="rect">
                      <a:avLst/>
                    </a:prstGeom>
                    <a:noFill/>
                    <a:ln w="9525">
                      <a:noFill/>
                      <a:miter lim="800000"/>
                      <a:headEnd/>
                      <a:tailEnd/>
                    </a:ln>
                  </pic:spPr>
                </pic:pic>
              </a:graphicData>
            </a:graphic>
          </wp:inline>
        </w:drawing>
      </w:r>
    </w:p>
    <w:p w:rsidR="00952D2E" w:rsidRPr="00952D2E" w:rsidRDefault="00952D2E" w:rsidP="00952D2E">
      <w:proofErr w:type="spellStart"/>
      <w:r>
        <w:t>European</w:t>
      </w:r>
      <w:proofErr w:type="spellEnd"/>
      <w:r>
        <w:t xml:space="preserve"> </w:t>
      </w:r>
      <w:proofErr w:type="spellStart"/>
      <w:r>
        <w:t>Commision</w:t>
      </w:r>
      <w:proofErr w:type="spellEnd"/>
    </w:p>
    <w:p w:rsidR="00952D2E" w:rsidRDefault="00952D2E" w:rsidP="00952D2E"/>
    <w:p w:rsidR="00952D2E" w:rsidRDefault="00952D2E" w:rsidP="00952D2E">
      <w:r w:rsidRPr="00952D2E">
        <w:rPr>
          <w:noProof/>
          <w:lang w:eastAsia="pl-PL"/>
        </w:rPr>
        <w:lastRenderedPageBreak/>
        <w:drawing>
          <wp:inline distT="0" distB="0" distL="0" distR="0">
            <wp:extent cx="5760720" cy="3794750"/>
            <wp:effectExtent l="19050" t="0" r="0" b="0"/>
            <wp:docPr id="2" name="Obraz 1" descr="C:\Users\m_krysztoforski\Desktop\WWF szkolenie\Wykłady WWF\KDPR wymywanie azotanów.JPG"/>
            <wp:cNvGraphicFramePr/>
            <a:graphic xmlns:a="http://schemas.openxmlformats.org/drawingml/2006/main">
              <a:graphicData uri="http://schemas.openxmlformats.org/drawingml/2006/picture">
                <pic:pic xmlns:pic="http://schemas.openxmlformats.org/drawingml/2006/picture">
                  <pic:nvPicPr>
                    <pic:cNvPr id="5123" name="Picture 3" descr="C:\Users\m_krysztoforski\Desktop\WWF szkolenie\Wykłady WWF\KDPR wymywanie azotanów.JPG"/>
                    <pic:cNvPicPr>
                      <a:picLocks noChangeAspect="1" noChangeArrowheads="1"/>
                    </pic:cNvPicPr>
                  </pic:nvPicPr>
                  <pic:blipFill>
                    <a:blip r:embed="rId9"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a:stretch>
                      <a:fillRect/>
                    </a:stretch>
                  </pic:blipFill>
                  <pic:spPr bwMode="auto">
                    <a:xfrm>
                      <a:off x="0" y="0"/>
                      <a:ext cx="5760720" cy="3794750"/>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solidFill>
                            <a:srgbClr val="FFFFFF"/>
                          </a:solidFill>
                        </a14:hiddenFill>
                      </a:ext>
                    </a:extLst>
                  </pic:spPr>
                </pic:pic>
              </a:graphicData>
            </a:graphic>
          </wp:inline>
        </w:drawing>
      </w:r>
    </w:p>
    <w:p w:rsidR="00F03EA6" w:rsidRPr="00952D2E" w:rsidRDefault="00952D2E" w:rsidP="00952D2E">
      <w:r>
        <w:t>Źródło : Kodeks Dobrej Praktyki Rolniczej 2004</w:t>
      </w:r>
    </w:p>
    <w:sectPr w:rsidR="00F03EA6" w:rsidRPr="00952D2E" w:rsidSect="00F03EA6">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A2383A"/>
    <w:multiLevelType w:val="hybridMultilevel"/>
    <w:tmpl w:val="983CDEAE"/>
    <w:lvl w:ilvl="0" w:tplc="6E3EAB1E">
      <w:start w:val="1"/>
      <w:numFmt w:val="bullet"/>
      <w:lvlText w:val="•"/>
      <w:lvlJc w:val="left"/>
      <w:pPr>
        <w:tabs>
          <w:tab w:val="num" w:pos="720"/>
        </w:tabs>
        <w:ind w:left="720" w:hanging="360"/>
      </w:pPr>
      <w:rPr>
        <w:rFonts w:ascii="Arial" w:hAnsi="Arial" w:hint="default"/>
      </w:rPr>
    </w:lvl>
    <w:lvl w:ilvl="1" w:tplc="25662F00" w:tentative="1">
      <w:start w:val="1"/>
      <w:numFmt w:val="bullet"/>
      <w:lvlText w:val="•"/>
      <w:lvlJc w:val="left"/>
      <w:pPr>
        <w:tabs>
          <w:tab w:val="num" w:pos="1440"/>
        </w:tabs>
        <w:ind w:left="1440" w:hanging="360"/>
      </w:pPr>
      <w:rPr>
        <w:rFonts w:ascii="Arial" w:hAnsi="Arial" w:hint="default"/>
      </w:rPr>
    </w:lvl>
    <w:lvl w:ilvl="2" w:tplc="7D2EE662" w:tentative="1">
      <w:start w:val="1"/>
      <w:numFmt w:val="bullet"/>
      <w:lvlText w:val="•"/>
      <w:lvlJc w:val="left"/>
      <w:pPr>
        <w:tabs>
          <w:tab w:val="num" w:pos="2160"/>
        </w:tabs>
        <w:ind w:left="2160" w:hanging="360"/>
      </w:pPr>
      <w:rPr>
        <w:rFonts w:ascii="Arial" w:hAnsi="Arial" w:hint="default"/>
      </w:rPr>
    </w:lvl>
    <w:lvl w:ilvl="3" w:tplc="D654D832" w:tentative="1">
      <w:start w:val="1"/>
      <w:numFmt w:val="bullet"/>
      <w:lvlText w:val="•"/>
      <w:lvlJc w:val="left"/>
      <w:pPr>
        <w:tabs>
          <w:tab w:val="num" w:pos="2880"/>
        </w:tabs>
        <w:ind w:left="2880" w:hanging="360"/>
      </w:pPr>
      <w:rPr>
        <w:rFonts w:ascii="Arial" w:hAnsi="Arial" w:hint="default"/>
      </w:rPr>
    </w:lvl>
    <w:lvl w:ilvl="4" w:tplc="7B2819B6" w:tentative="1">
      <w:start w:val="1"/>
      <w:numFmt w:val="bullet"/>
      <w:lvlText w:val="•"/>
      <w:lvlJc w:val="left"/>
      <w:pPr>
        <w:tabs>
          <w:tab w:val="num" w:pos="3600"/>
        </w:tabs>
        <w:ind w:left="3600" w:hanging="360"/>
      </w:pPr>
      <w:rPr>
        <w:rFonts w:ascii="Arial" w:hAnsi="Arial" w:hint="default"/>
      </w:rPr>
    </w:lvl>
    <w:lvl w:ilvl="5" w:tplc="CE46CE8E" w:tentative="1">
      <w:start w:val="1"/>
      <w:numFmt w:val="bullet"/>
      <w:lvlText w:val="•"/>
      <w:lvlJc w:val="left"/>
      <w:pPr>
        <w:tabs>
          <w:tab w:val="num" w:pos="4320"/>
        </w:tabs>
        <w:ind w:left="4320" w:hanging="360"/>
      </w:pPr>
      <w:rPr>
        <w:rFonts w:ascii="Arial" w:hAnsi="Arial" w:hint="default"/>
      </w:rPr>
    </w:lvl>
    <w:lvl w:ilvl="6" w:tplc="A2D44194" w:tentative="1">
      <w:start w:val="1"/>
      <w:numFmt w:val="bullet"/>
      <w:lvlText w:val="•"/>
      <w:lvlJc w:val="left"/>
      <w:pPr>
        <w:tabs>
          <w:tab w:val="num" w:pos="5040"/>
        </w:tabs>
        <w:ind w:left="5040" w:hanging="360"/>
      </w:pPr>
      <w:rPr>
        <w:rFonts w:ascii="Arial" w:hAnsi="Arial" w:hint="default"/>
      </w:rPr>
    </w:lvl>
    <w:lvl w:ilvl="7" w:tplc="5E1A8FFC" w:tentative="1">
      <w:start w:val="1"/>
      <w:numFmt w:val="bullet"/>
      <w:lvlText w:val="•"/>
      <w:lvlJc w:val="left"/>
      <w:pPr>
        <w:tabs>
          <w:tab w:val="num" w:pos="5760"/>
        </w:tabs>
        <w:ind w:left="5760" w:hanging="360"/>
      </w:pPr>
      <w:rPr>
        <w:rFonts w:ascii="Arial" w:hAnsi="Arial" w:hint="default"/>
      </w:rPr>
    </w:lvl>
    <w:lvl w:ilvl="8" w:tplc="352AD4A8" w:tentative="1">
      <w:start w:val="1"/>
      <w:numFmt w:val="bullet"/>
      <w:lvlText w:val="•"/>
      <w:lvlJc w:val="left"/>
      <w:pPr>
        <w:tabs>
          <w:tab w:val="num" w:pos="6480"/>
        </w:tabs>
        <w:ind w:left="6480" w:hanging="360"/>
      </w:pPr>
      <w:rPr>
        <w:rFonts w:ascii="Arial" w:hAnsi="Arial" w:hint="default"/>
      </w:rPr>
    </w:lvl>
  </w:abstractNum>
  <w:abstractNum w:abstractNumId="1">
    <w:nsid w:val="2DD15862"/>
    <w:multiLevelType w:val="hybridMultilevel"/>
    <w:tmpl w:val="E5220ADC"/>
    <w:lvl w:ilvl="0" w:tplc="E684FB08">
      <w:start w:val="1"/>
      <w:numFmt w:val="bullet"/>
      <w:lvlText w:val="•"/>
      <w:lvlJc w:val="left"/>
      <w:pPr>
        <w:tabs>
          <w:tab w:val="num" w:pos="720"/>
        </w:tabs>
        <w:ind w:left="720" w:hanging="360"/>
      </w:pPr>
      <w:rPr>
        <w:rFonts w:ascii="Arial" w:hAnsi="Arial" w:hint="default"/>
      </w:rPr>
    </w:lvl>
    <w:lvl w:ilvl="1" w:tplc="093A4D02" w:tentative="1">
      <w:start w:val="1"/>
      <w:numFmt w:val="bullet"/>
      <w:lvlText w:val="•"/>
      <w:lvlJc w:val="left"/>
      <w:pPr>
        <w:tabs>
          <w:tab w:val="num" w:pos="1440"/>
        </w:tabs>
        <w:ind w:left="1440" w:hanging="360"/>
      </w:pPr>
      <w:rPr>
        <w:rFonts w:ascii="Arial" w:hAnsi="Arial" w:hint="default"/>
      </w:rPr>
    </w:lvl>
    <w:lvl w:ilvl="2" w:tplc="B56216B0" w:tentative="1">
      <w:start w:val="1"/>
      <w:numFmt w:val="bullet"/>
      <w:lvlText w:val="•"/>
      <w:lvlJc w:val="left"/>
      <w:pPr>
        <w:tabs>
          <w:tab w:val="num" w:pos="2160"/>
        </w:tabs>
        <w:ind w:left="2160" w:hanging="360"/>
      </w:pPr>
      <w:rPr>
        <w:rFonts w:ascii="Arial" w:hAnsi="Arial" w:hint="default"/>
      </w:rPr>
    </w:lvl>
    <w:lvl w:ilvl="3" w:tplc="D2440110" w:tentative="1">
      <w:start w:val="1"/>
      <w:numFmt w:val="bullet"/>
      <w:lvlText w:val="•"/>
      <w:lvlJc w:val="left"/>
      <w:pPr>
        <w:tabs>
          <w:tab w:val="num" w:pos="2880"/>
        </w:tabs>
        <w:ind w:left="2880" w:hanging="360"/>
      </w:pPr>
      <w:rPr>
        <w:rFonts w:ascii="Arial" w:hAnsi="Arial" w:hint="default"/>
      </w:rPr>
    </w:lvl>
    <w:lvl w:ilvl="4" w:tplc="02DE4716" w:tentative="1">
      <w:start w:val="1"/>
      <w:numFmt w:val="bullet"/>
      <w:lvlText w:val="•"/>
      <w:lvlJc w:val="left"/>
      <w:pPr>
        <w:tabs>
          <w:tab w:val="num" w:pos="3600"/>
        </w:tabs>
        <w:ind w:left="3600" w:hanging="360"/>
      </w:pPr>
      <w:rPr>
        <w:rFonts w:ascii="Arial" w:hAnsi="Arial" w:hint="default"/>
      </w:rPr>
    </w:lvl>
    <w:lvl w:ilvl="5" w:tplc="92B23430" w:tentative="1">
      <w:start w:val="1"/>
      <w:numFmt w:val="bullet"/>
      <w:lvlText w:val="•"/>
      <w:lvlJc w:val="left"/>
      <w:pPr>
        <w:tabs>
          <w:tab w:val="num" w:pos="4320"/>
        </w:tabs>
        <w:ind w:left="4320" w:hanging="360"/>
      </w:pPr>
      <w:rPr>
        <w:rFonts w:ascii="Arial" w:hAnsi="Arial" w:hint="default"/>
      </w:rPr>
    </w:lvl>
    <w:lvl w:ilvl="6" w:tplc="821E50AC" w:tentative="1">
      <w:start w:val="1"/>
      <w:numFmt w:val="bullet"/>
      <w:lvlText w:val="•"/>
      <w:lvlJc w:val="left"/>
      <w:pPr>
        <w:tabs>
          <w:tab w:val="num" w:pos="5040"/>
        </w:tabs>
        <w:ind w:left="5040" w:hanging="360"/>
      </w:pPr>
      <w:rPr>
        <w:rFonts w:ascii="Arial" w:hAnsi="Arial" w:hint="default"/>
      </w:rPr>
    </w:lvl>
    <w:lvl w:ilvl="7" w:tplc="58541286" w:tentative="1">
      <w:start w:val="1"/>
      <w:numFmt w:val="bullet"/>
      <w:lvlText w:val="•"/>
      <w:lvlJc w:val="left"/>
      <w:pPr>
        <w:tabs>
          <w:tab w:val="num" w:pos="5760"/>
        </w:tabs>
        <w:ind w:left="5760" w:hanging="360"/>
      </w:pPr>
      <w:rPr>
        <w:rFonts w:ascii="Arial" w:hAnsi="Arial" w:hint="default"/>
      </w:rPr>
    </w:lvl>
    <w:lvl w:ilvl="8" w:tplc="F81E3BAC" w:tentative="1">
      <w:start w:val="1"/>
      <w:numFmt w:val="bullet"/>
      <w:lvlText w:val="•"/>
      <w:lvlJc w:val="left"/>
      <w:pPr>
        <w:tabs>
          <w:tab w:val="num" w:pos="6480"/>
        </w:tabs>
        <w:ind w:left="6480" w:hanging="360"/>
      </w:pPr>
      <w:rPr>
        <w:rFonts w:ascii="Arial" w:hAnsi="Arial" w:hint="default"/>
      </w:rPr>
    </w:lvl>
  </w:abstractNum>
  <w:abstractNum w:abstractNumId="2">
    <w:nsid w:val="42003EE8"/>
    <w:multiLevelType w:val="hybridMultilevel"/>
    <w:tmpl w:val="808ACE8A"/>
    <w:lvl w:ilvl="0" w:tplc="58F06E8E">
      <w:numFmt w:val="bullet"/>
      <w:lvlText w:val=""/>
      <w:lvlJc w:val="left"/>
      <w:pPr>
        <w:ind w:left="720" w:hanging="360"/>
      </w:pPr>
      <w:rPr>
        <w:rFonts w:ascii="Symbol" w:eastAsiaTheme="minorHAnsi" w:hAnsi="Symbol" w:cstheme="minorBid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47D465E4"/>
    <w:multiLevelType w:val="hybridMultilevel"/>
    <w:tmpl w:val="5C3E1B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0"/>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2"/>
  <w:proofState w:spelling="clean"/>
  <w:defaultTabStop w:val="708"/>
  <w:hyphenationZone w:val="425"/>
  <w:characterSpacingControl w:val="doNotCompress"/>
  <w:compat/>
  <w:rsids>
    <w:rsidRoot w:val="00381740"/>
    <w:rsid w:val="00081DD8"/>
    <w:rsid w:val="0018034D"/>
    <w:rsid w:val="00380C36"/>
    <w:rsid w:val="00381740"/>
    <w:rsid w:val="00635685"/>
    <w:rsid w:val="00705F43"/>
    <w:rsid w:val="007E3017"/>
    <w:rsid w:val="0080037A"/>
    <w:rsid w:val="008839DE"/>
    <w:rsid w:val="008A6176"/>
    <w:rsid w:val="00952D2E"/>
    <w:rsid w:val="00EF63FD"/>
    <w:rsid w:val="00F03EA6"/>
    <w:rsid w:val="00F417DC"/>
    <w:rsid w:val="00FA6426"/>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F03EA6"/>
  </w:style>
  <w:style w:type="character" w:default="1" w:styleId="Domylnaczcionkaakapitu">
    <w:name w:val="Default Paragraph Font"/>
    <w:uiPriority w:val="1"/>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635685"/>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635685"/>
    <w:rPr>
      <w:rFonts w:ascii="Tahoma" w:hAnsi="Tahoma" w:cs="Tahoma"/>
      <w:sz w:val="16"/>
      <w:szCs w:val="16"/>
    </w:rPr>
  </w:style>
  <w:style w:type="paragraph" w:styleId="Akapitzlist">
    <w:name w:val="List Paragraph"/>
    <w:basedOn w:val="Normalny"/>
    <w:uiPriority w:val="34"/>
    <w:qFormat/>
    <w:rsid w:val="0080037A"/>
    <w:pPr>
      <w:ind w:left="720"/>
      <w:contextualSpacing/>
    </w:pPr>
  </w:style>
</w:styles>
</file>

<file path=word/webSettings.xml><?xml version="1.0" encoding="utf-8"?>
<w:webSettings xmlns:r="http://schemas.openxmlformats.org/officeDocument/2006/relationships" xmlns:w="http://schemas.openxmlformats.org/wordprocessingml/2006/main">
  <w:divs>
    <w:div w:id="294141855">
      <w:bodyDiv w:val="1"/>
      <w:marLeft w:val="0"/>
      <w:marRight w:val="0"/>
      <w:marTop w:val="0"/>
      <w:marBottom w:val="0"/>
      <w:divBdr>
        <w:top w:val="none" w:sz="0" w:space="0" w:color="auto"/>
        <w:left w:val="none" w:sz="0" w:space="0" w:color="auto"/>
        <w:bottom w:val="none" w:sz="0" w:space="0" w:color="auto"/>
        <w:right w:val="none" w:sz="0" w:space="0" w:color="auto"/>
      </w:divBdr>
    </w:div>
    <w:div w:id="886575899">
      <w:bodyDiv w:val="1"/>
      <w:marLeft w:val="0"/>
      <w:marRight w:val="0"/>
      <w:marTop w:val="0"/>
      <w:marBottom w:val="0"/>
      <w:divBdr>
        <w:top w:val="none" w:sz="0" w:space="0" w:color="auto"/>
        <w:left w:val="none" w:sz="0" w:space="0" w:color="auto"/>
        <w:bottom w:val="none" w:sz="0" w:space="0" w:color="auto"/>
        <w:right w:val="none" w:sz="0" w:space="0" w:color="auto"/>
      </w:divBdr>
    </w:div>
    <w:div w:id="1092698118">
      <w:bodyDiv w:val="1"/>
      <w:marLeft w:val="0"/>
      <w:marRight w:val="0"/>
      <w:marTop w:val="0"/>
      <w:marBottom w:val="0"/>
      <w:divBdr>
        <w:top w:val="none" w:sz="0" w:space="0" w:color="auto"/>
        <w:left w:val="none" w:sz="0" w:space="0" w:color="auto"/>
        <w:bottom w:val="none" w:sz="0" w:space="0" w:color="auto"/>
        <w:right w:val="none" w:sz="0" w:space="0" w:color="auto"/>
      </w:divBdr>
      <w:divsChild>
        <w:div w:id="1109348779">
          <w:marLeft w:val="446"/>
          <w:marRight w:val="0"/>
          <w:marTop w:val="0"/>
          <w:marBottom w:val="0"/>
          <w:divBdr>
            <w:top w:val="none" w:sz="0" w:space="0" w:color="auto"/>
            <w:left w:val="none" w:sz="0" w:space="0" w:color="auto"/>
            <w:bottom w:val="none" w:sz="0" w:space="0" w:color="auto"/>
            <w:right w:val="none" w:sz="0" w:space="0" w:color="auto"/>
          </w:divBdr>
        </w:div>
        <w:div w:id="558706262">
          <w:marLeft w:val="446"/>
          <w:marRight w:val="0"/>
          <w:marTop w:val="0"/>
          <w:marBottom w:val="0"/>
          <w:divBdr>
            <w:top w:val="none" w:sz="0" w:space="0" w:color="auto"/>
            <w:left w:val="none" w:sz="0" w:space="0" w:color="auto"/>
            <w:bottom w:val="none" w:sz="0" w:space="0" w:color="auto"/>
            <w:right w:val="none" w:sz="0" w:space="0" w:color="auto"/>
          </w:divBdr>
        </w:div>
      </w:divsChild>
    </w:div>
    <w:div w:id="1241721724">
      <w:bodyDiv w:val="1"/>
      <w:marLeft w:val="0"/>
      <w:marRight w:val="0"/>
      <w:marTop w:val="0"/>
      <w:marBottom w:val="0"/>
      <w:divBdr>
        <w:top w:val="none" w:sz="0" w:space="0" w:color="auto"/>
        <w:left w:val="none" w:sz="0" w:space="0" w:color="auto"/>
        <w:bottom w:val="none" w:sz="0" w:space="0" w:color="auto"/>
        <w:right w:val="none" w:sz="0" w:space="0" w:color="auto"/>
      </w:divBdr>
      <w:divsChild>
        <w:div w:id="1758163646">
          <w:marLeft w:val="446"/>
          <w:marRight w:val="0"/>
          <w:marTop w:val="0"/>
          <w:marBottom w:val="0"/>
          <w:divBdr>
            <w:top w:val="none" w:sz="0" w:space="0" w:color="auto"/>
            <w:left w:val="none" w:sz="0" w:space="0" w:color="auto"/>
            <w:bottom w:val="none" w:sz="0" w:space="0" w:color="auto"/>
            <w:right w:val="none" w:sz="0" w:space="0" w:color="auto"/>
          </w:divBdr>
        </w:div>
        <w:div w:id="101845687">
          <w:marLeft w:val="446"/>
          <w:marRight w:val="0"/>
          <w:marTop w:val="0"/>
          <w:marBottom w:val="0"/>
          <w:divBdr>
            <w:top w:val="none" w:sz="0" w:space="0" w:color="auto"/>
            <w:left w:val="none" w:sz="0" w:space="0" w:color="auto"/>
            <w:bottom w:val="none" w:sz="0" w:space="0" w:color="auto"/>
            <w:right w:val="none" w:sz="0" w:space="0" w:color="auto"/>
          </w:divBdr>
        </w:div>
        <w:div w:id="178738410">
          <w:marLeft w:val="446"/>
          <w:marRight w:val="0"/>
          <w:marTop w:val="0"/>
          <w:marBottom w:val="0"/>
          <w:divBdr>
            <w:top w:val="none" w:sz="0" w:space="0" w:color="auto"/>
            <w:left w:val="none" w:sz="0" w:space="0" w:color="auto"/>
            <w:bottom w:val="none" w:sz="0" w:space="0" w:color="auto"/>
            <w:right w:val="none" w:sz="0" w:space="0" w:color="auto"/>
          </w:divBdr>
        </w:div>
        <w:div w:id="778722806">
          <w:marLeft w:val="446"/>
          <w:marRight w:val="0"/>
          <w:marTop w:val="0"/>
          <w:marBottom w:val="0"/>
          <w:divBdr>
            <w:top w:val="none" w:sz="0" w:space="0" w:color="auto"/>
            <w:left w:val="none" w:sz="0" w:space="0" w:color="auto"/>
            <w:bottom w:val="none" w:sz="0" w:space="0" w:color="auto"/>
            <w:right w:val="none" w:sz="0" w:space="0" w:color="auto"/>
          </w:divBdr>
        </w:div>
      </w:divsChild>
    </w:div>
    <w:div w:id="1477185826">
      <w:bodyDiv w:val="1"/>
      <w:marLeft w:val="0"/>
      <w:marRight w:val="0"/>
      <w:marTop w:val="0"/>
      <w:marBottom w:val="0"/>
      <w:divBdr>
        <w:top w:val="none" w:sz="0" w:space="0" w:color="auto"/>
        <w:left w:val="none" w:sz="0" w:space="0" w:color="auto"/>
        <w:bottom w:val="none" w:sz="0" w:space="0" w:color="auto"/>
        <w:right w:val="none" w:sz="0" w:space="0" w:color="auto"/>
      </w:divBdr>
    </w:div>
    <w:div w:id="1502814229">
      <w:bodyDiv w:val="1"/>
      <w:marLeft w:val="0"/>
      <w:marRight w:val="0"/>
      <w:marTop w:val="0"/>
      <w:marBottom w:val="0"/>
      <w:divBdr>
        <w:top w:val="none" w:sz="0" w:space="0" w:color="auto"/>
        <w:left w:val="none" w:sz="0" w:space="0" w:color="auto"/>
        <w:bottom w:val="none" w:sz="0" w:space="0" w:color="auto"/>
        <w:right w:val="none" w:sz="0" w:space="0" w:color="auto"/>
      </w:divBdr>
    </w:div>
    <w:div w:id="1636106578">
      <w:bodyDiv w:val="1"/>
      <w:marLeft w:val="0"/>
      <w:marRight w:val="0"/>
      <w:marTop w:val="0"/>
      <w:marBottom w:val="0"/>
      <w:divBdr>
        <w:top w:val="none" w:sz="0" w:space="0" w:color="auto"/>
        <w:left w:val="none" w:sz="0" w:space="0" w:color="auto"/>
        <w:bottom w:val="none" w:sz="0" w:space="0" w:color="auto"/>
        <w:right w:val="none" w:sz="0" w:space="0" w:color="auto"/>
      </w:divBdr>
    </w:div>
    <w:div w:id="1700354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package" Target="embeddings/Slajd_programu_Microsoft_Office_PowerPoint1.sldx"/><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TotalTime>
  <Pages>5</Pages>
  <Words>597</Words>
  <Characters>3583</Characters>
  <Application>Microsoft Office Word</Application>
  <DocSecurity>0</DocSecurity>
  <Lines>29</Lines>
  <Paragraphs>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4172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Marek Krysztoforski</dc:creator>
  <cp:lastModifiedBy>Marek Krysztoforski</cp:lastModifiedBy>
  <cp:revision>8</cp:revision>
  <dcterms:created xsi:type="dcterms:W3CDTF">2019-01-25T08:39:00Z</dcterms:created>
  <dcterms:modified xsi:type="dcterms:W3CDTF">2019-01-26T18:46:00Z</dcterms:modified>
</cp:coreProperties>
</file>